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hd w:val="nil"/>
        <w:rPr>
          <w:rFonts w:ascii="Times New Roman" w:hAnsi="Times New Roman" w:eastAsiaTheme="minorEastAsia" w:cstheme="minorBidi"/>
          <w:sz w:val="28"/>
          <w:szCs w:val="28"/>
          <w:lang w:eastAsia="ru-RU"/>
        </w:rPr>
      </w:pPr>
      <w:r>
        <w:rPr>
          <w:rFonts w:ascii="Times New Roman" w:hAnsi="Times New Roman" w:eastAsiaTheme="minorEastAsia" w:cstheme="minorBidi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80175" cy="8386109"/>
                <wp:effectExtent l="0" t="0" r="0" b="0"/>
                <wp:docPr id="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859094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80174" cy="83861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510.2pt;height:660.3pt;" stroked="false">
                <v:path textboxrect="0,0,0,0"/>
                <v:imagedata r:id="rId12" o:title=""/>
              </v:shape>
            </w:pict>
          </mc:Fallback>
        </mc:AlternateContent>
        <w:br w:type="page"/>
      </w:r>
      <w:r>
        <w:rPr>
          <w:rFonts w:ascii="Times New Roman" w:hAnsi="Times New Roman" w:eastAsiaTheme="minorEastAsia" w:cstheme="minorBidi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Theme="minorEastAsia" w:cstheme="minorBidi"/>
          <w:sz w:val="28"/>
          <w:szCs w:val="28"/>
          <w:lang w:eastAsia="ru-RU"/>
        </w:rPr>
      </w:pPr>
      <w:r>
        <w:rPr>
          <w:rFonts w:ascii="Times New Roman" w:hAnsi="Times New Roman" w:eastAsiaTheme="minorEastAsia" w:cstheme="minorBidi"/>
          <w:sz w:val="28"/>
          <w:szCs w:val="28"/>
          <w:lang w:eastAsia="ru-RU"/>
        </w:rPr>
      </w:r>
      <w:r/>
    </w:p>
    <w:p>
      <w:pPr>
        <w:spacing w:after="0" w:line="240" w:lineRule="auto"/>
        <w:rPr>
          <w:rFonts w:ascii="Times New Roman" w:hAnsi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eastAsiaTheme="minorEastAsia"/>
          <w:sz w:val="28"/>
          <w:szCs w:val="28"/>
          <w:lang w:eastAsia="ru-RU"/>
        </w:rPr>
      </w:r>
      <w:r/>
    </w:p>
    <w:p>
      <w:pPr>
        <w:jc w:val="center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eastAsiaTheme="minorEastAsia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Theme="minorEastAsia"/>
          <w:sz w:val="28"/>
          <w:szCs w:val="28"/>
          <w:lang w:eastAsia="ru-RU"/>
        </w:rPr>
        <w:t xml:space="preserve">оложение </w:t>
      </w:r>
      <w:r/>
    </w:p>
    <w:p>
      <w:pPr>
        <w:jc w:val="center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eastAsiaTheme="minorEastAsia"/>
          <w:sz w:val="28"/>
          <w:szCs w:val="28"/>
          <w:lang w:eastAsia="ru-RU"/>
        </w:rPr>
        <w:t xml:space="preserve">о системе наставничества педагогических работников </w:t>
      </w:r>
      <w:r/>
    </w:p>
    <w:p>
      <w:pPr>
        <w:jc w:val="center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eastAsiaTheme="minorEastAsia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Theme="minorEastAsia"/>
          <w:sz w:val="28"/>
          <w:szCs w:val="28"/>
          <w:lang w:eastAsia="ru-RU"/>
        </w:rPr>
        <w:t xml:space="preserve">ГКОУ «Лемешкинская школа-интернат»</w:t>
      </w:r>
      <w:r/>
    </w:p>
    <w:p>
      <w:pPr>
        <w:pStyle w:val="762"/>
        <w:ind w:left="0"/>
        <w:jc w:val="center"/>
        <w:spacing w:after="0" w:line="240" w:lineRule="auto"/>
        <w:widowControl w:val="off"/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outlineLvl w:val="0"/>
      </w:pPr>
      <w:r/>
      <w:bookmarkStart w:id="0" w:name="bookmark32"/>
      <w:r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t xml:space="preserve">1. </w:t>
      </w:r>
      <w:r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t xml:space="preserve">Общие положения</w:t>
      </w:r>
      <w:bookmarkEnd w:id="0"/>
      <w:r/>
      <w:r/>
    </w:p>
    <w:p>
      <w:pPr>
        <w:pStyle w:val="762"/>
        <w:ind w:left="1069"/>
        <w:spacing w:after="0" w:line="240" w:lineRule="auto"/>
        <w:widowControl w:val="off"/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outlineLvl w:val="0"/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</w:r>
      <w:r/>
    </w:p>
    <w:p>
      <w:pPr>
        <w:numPr>
          <w:ilvl w:val="0"/>
          <w:numId w:val="14"/>
        </w:numPr>
        <w:ind w:firstLine="709"/>
        <w:jc w:val="both"/>
        <w:spacing w:after="0" w:line="240" w:lineRule="auto"/>
        <w:widowControl w:val="off"/>
        <w:tabs>
          <w:tab w:val="left" w:pos="1416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Настоящее Положение о системе наставничества педагогических работников определяет цели, задачи, формы и порядок осуществления наставничества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образовательной организации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ГКОУ «Лемешкинская школа-интернат»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(</w:t>
      </w:r>
      <w:r>
        <w:rPr>
          <w:rFonts w:ascii="Times New Roman" w:hAnsi="Times New Roman" w:eastAsia="Times New Roman"/>
          <w:bCs/>
          <w:iCs/>
          <w:color w:val="000000"/>
          <w:sz w:val="28"/>
          <w:szCs w:val="28"/>
          <w:lang w:bidi="ru-RU" w:eastAsia="ru-RU"/>
        </w:rPr>
        <w:t xml:space="preserve">далее именуется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– Положение).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Разработано в соответствии с нормативной правовой базой в сфере образования и наставничества.</w:t>
      </w:r>
      <w:r/>
    </w:p>
    <w:p>
      <w:pPr>
        <w:numPr>
          <w:ilvl w:val="0"/>
          <w:numId w:val="14"/>
        </w:numPr>
        <w:ind w:firstLine="709"/>
        <w:jc w:val="both"/>
        <w:spacing w:after="0" w:line="240" w:lineRule="auto"/>
        <w:widowControl w:val="off"/>
        <w:tabs>
          <w:tab w:val="left" w:pos="1283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Положении используются следующие понятия:</w:t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bCs/>
          <w:iCs/>
          <w:color w:val="000000"/>
          <w:sz w:val="28"/>
          <w:szCs w:val="28"/>
          <w:lang w:bidi="ru-RU" w:eastAsia="ru-RU"/>
        </w:rPr>
        <w:t xml:space="preserve">Наставник </w:t>
      </w:r>
      <w:r>
        <w:rPr>
          <w:rFonts w:ascii="Times New Roman" w:hAnsi="Times New Roman" w:eastAsia="Times New Roman"/>
          <w:bCs/>
          <w:iCs/>
          <w:color w:val="000000"/>
          <w:sz w:val="28"/>
          <w:szCs w:val="28"/>
          <w:lang w:bidi="ru-RU" w:eastAsia="ru-RU"/>
        </w:rPr>
        <w:t xml:space="preserve">–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педагогический работник, назначаемый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ответственным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за профессиональную и должностную адаптацию лица, в отношении которого осуществляется наставническая деятельность в образовательной организации.</w:t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bCs/>
          <w:iCs/>
          <w:color w:val="000000"/>
          <w:sz w:val="28"/>
          <w:szCs w:val="28"/>
          <w:lang w:bidi="ru-RU" w:eastAsia="ru-RU"/>
        </w:rPr>
        <w:t xml:space="preserve">Наставляемый </w:t>
      </w:r>
      <w:r>
        <w:rPr>
          <w:rFonts w:ascii="Times New Roman" w:hAnsi="Times New Roman" w:eastAsia="Times New Roman"/>
          <w:bCs/>
          <w:iCs/>
          <w:color w:val="000000"/>
          <w:sz w:val="28"/>
          <w:szCs w:val="28"/>
          <w:lang w:bidi="ru-RU" w:eastAsia="ru-RU"/>
        </w:rPr>
        <w:t xml:space="preserve">–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участник си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стемы наставничества, который через взаимодействие с наставником и при его помощи и поддержке приобретает новый опыт, развивает необходимые навыки и компетенции, добивается предсказуемых результатов, преодолевая тем самым свои профессиональные затруднения.</w:t>
      </w:r>
      <w:r/>
    </w:p>
    <w:p>
      <w:pPr>
        <w:ind w:firstLine="760"/>
        <w:jc w:val="both"/>
        <w:spacing w:after="0" w:line="240" w:lineRule="auto"/>
        <w:widowControl w:val="off"/>
        <w:tabs>
          <w:tab w:val="left" w:pos="1810" w:leader="none"/>
        </w:tabs>
        <w:rPr>
          <w:rFonts w:ascii="Times New Roman" w:hAnsi="Times New Roman" w:eastAsia="Times New Roman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bCs/>
          <w:iCs/>
          <w:color w:val="000000"/>
          <w:sz w:val="28"/>
          <w:szCs w:val="28"/>
          <w:shd w:val="clear" w:color="auto" w:fill="ffffff"/>
          <w:lang w:bidi="ru-RU" w:eastAsia="ru-RU"/>
        </w:rPr>
        <w:t xml:space="preserve">Куратор </w:t>
      </w:r>
      <w:r>
        <w:rPr>
          <w:rFonts w:ascii="Times New Roman" w:hAnsi="Times New Roman" w:eastAsia="Times New Roman"/>
          <w:bCs/>
          <w:iCs/>
          <w:color w:val="000000"/>
          <w:sz w:val="28"/>
          <w:szCs w:val="28"/>
          <w:shd w:val="clear" w:color="auto" w:fill="ffffff"/>
          <w:lang w:bidi="ru-RU" w:eastAsia="ru-RU"/>
        </w:rPr>
        <w:t xml:space="preserve">–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сотруд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ник образовательной организации или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 учреждения из числа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ее социальных партнеров (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другие организации, осуществляющие образовательную деятельность – школы, вузы, колледжи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; учреждения культуры и спорта, дополнительного профессионального образования,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предприятия), который отвечает за реализацию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персонализированны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х(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ой) программ(ы) наставничества.</w:t>
      </w:r>
      <w:r/>
    </w:p>
    <w:p>
      <w:pPr>
        <w:ind w:firstLine="760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bCs/>
          <w:iCs/>
          <w:color w:val="000000"/>
          <w:sz w:val="28"/>
          <w:szCs w:val="28"/>
          <w:shd w:val="clear" w:color="auto" w:fill="ffffff"/>
          <w:lang w:bidi="ru-RU" w:eastAsia="ru-RU"/>
        </w:rPr>
        <w:t xml:space="preserve">Наставничество </w:t>
      </w:r>
      <w:r>
        <w:rPr>
          <w:rFonts w:ascii="Times New Roman" w:hAnsi="Times New Roman" w:eastAsia="Times New Roman"/>
          <w:bCs/>
          <w:iCs/>
          <w:color w:val="000000"/>
          <w:sz w:val="28"/>
          <w:szCs w:val="28"/>
          <w:shd w:val="clear" w:color="auto" w:fill="ffffff"/>
          <w:lang w:bidi="ru-RU" w:eastAsia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 форма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</w:t>
      </w:r>
      <w:r/>
    </w:p>
    <w:p>
      <w:pPr>
        <w:ind w:firstLine="760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bCs/>
          <w:iCs/>
          <w:color w:val="000000"/>
          <w:sz w:val="28"/>
          <w:szCs w:val="28"/>
          <w:shd w:val="clear" w:color="auto" w:fill="ffffff"/>
          <w:lang w:bidi="ru-RU" w:eastAsia="ru-RU"/>
        </w:rPr>
        <w:t xml:space="preserve">Форма наставничества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 </w:t>
      </w:r>
      <w:r>
        <w:rPr>
          <w:rFonts w:ascii="Times New Roman" w:hAnsi="Times New Roman" w:eastAsia="Times New Roman"/>
          <w:bCs/>
          <w:color w:val="000000"/>
          <w:sz w:val="28"/>
          <w:szCs w:val="28"/>
          <w:shd w:val="clear" w:color="auto" w:fill="ffffff"/>
          <w:lang w:bidi="ru-RU" w:eastAsia="ru-RU"/>
        </w:rPr>
        <w:t xml:space="preserve">–</w:t>
      </w:r>
      <w:r>
        <w:rPr>
          <w:rFonts w:ascii="Times New Roman" w:hAnsi="Times New Roman" w:eastAsia="Times New Roman"/>
          <w:bCs/>
          <w:color w:val="000000"/>
          <w:sz w:val="28"/>
          <w:szCs w:val="28"/>
          <w:shd w:val="clear" w:color="auto" w:fill="ffffff"/>
          <w:lang w:bidi="ru-RU"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способ реализации системы наставничества через организацию работы наставнической пары/группы, участники которой находятся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в заданной ролевой ситуации, определяемой основной деятельностью и позицией участников.</w:t>
      </w:r>
      <w:r/>
    </w:p>
    <w:p>
      <w:pPr>
        <w:ind w:firstLine="760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bCs/>
          <w:iCs/>
          <w:color w:val="000000"/>
          <w:sz w:val="28"/>
          <w:szCs w:val="28"/>
          <w:shd w:val="clear" w:color="auto" w:fill="ffffff"/>
          <w:lang w:bidi="ru-RU" w:eastAsia="ru-RU"/>
        </w:rPr>
        <w:t xml:space="preserve">Персонализированная программа наставничества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 это краткосрочная персонализированная программа (от 3 месяцев до 1 года), включающая описание форм и видов наставничества, участников наставнической деятельности, направления наставнической деятельности и перечень мероприятий, нацеленных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на устранение выявленных профессиональных затруднений наставляемого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и на поддержку его сильных сторон.</w:t>
      </w:r>
      <w:r/>
    </w:p>
    <w:p>
      <w:pPr>
        <w:numPr>
          <w:ilvl w:val="0"/>
          <w:numId w:val="14"/>
        </w:numPr>
        <w:ind w:firstLine="709"/>
        <w:jc w:val="both"/>
        <w:spacing w:after="0" w:line="240" w:lineRule="auto"/>
        <w:widowControl w:val="off"/>
        <w:tabs>
          <w:tab w:val="left" w:pos="1416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Основными принципами системы наставничества педагогических работников являются:</w:t>
      </w:r>
      <w:r/>
    </w:p>
    <w:p>
      <w:pPr>
        <w:ind w:firstLine="760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принцип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научности – применение научно-обоснованных методик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br/>
        <w:t xml:space="preserve">и технологий в сфере наставничества педагогических работников;</w:t>
      </w:r>
      <w:r/>
    </w:p>
    <w:p>
      <w:pPr>
        <w:ind w:firstLine="760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принцип системности и стратегической целостности – разработка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br/>
        <w:t xml:space="preserve">и реализация практик наставничества с максимальным охватом всех необходимых компонентов системы образования на федеральном, региональном, муниципальном уровнях и уровне образовательной организации;</w:t>
      </w:r>
      <w:r/>
    </w:p>
    <w:p>
      <w:pPr>
        <w:ind w:firstLine="760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принцип легитимности – соответствие деятельности по реализации программы наставничества законодательству Российской Федерации, региональной нормативно-правовой базе;</w:t>
      </w:r>
      <w:r/>
    </w:p>
    <w:p>
      <w:pPr>
        <w:ind w:firstLine="760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принцип обеспечения суверенных прав личности – приоритет интересов личности и личностного развития педагога в процессе его профессионального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br/>
        <w:t xml:space="preserve">и социального развития, честность и открытость взаимоотношений, уважение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br/>
        <w:t xml:space="preserve">к личности наставляемого и наставника;</w:t>
      </w:r>
      <w:r/>
    </w:p>
    <w:p>
      <w:pPr>
        <w:ind w:firstLine="760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принцип добровольности, свободы выбора, учета многофакторности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br/>
        <w:t xml:space="preserve">в определении и совместной деятельности наставника и наставляемого;</w:t>
      </w:r>
      <w:r/>
    </w:p>
    <w:p>
      <w:pPr>
        <w:ind w:firstLine="760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принцип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аксиологичности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 – формирование у наставляемого и наставника ценностных отношений к профессиональной деятельности, уважения к личности, государству и окружающей среде, общечеловеческим ценностям;</w:t>
      </w:r>
      <w:r/>
    </w:p>
    <w:p>
      <w:pPr>
        <w:ind w:firstLine="760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принцип личной ответственности – ответственное поведение всех субъектов наставнической деятельности (куратора, наставника, наставляемого) к внедрению практик наставничества, его результатам, выбору коммуникативных стратегий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br/>
        <w:t xml:space="preserve">и механизмов наставничества;</w:t>
      </w:r>
      <w:r/>
    </w:p>
    <w:p>
      <w:pPr>
        <w:ind w:firstLine="760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принцип индивидуализации и персонализации наставничества – сохранение индивидуальных приоритетов в создании для наставляемого индивидуальной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 траектории р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азвития;</w:t>
      </w:r>
      <w:r/>
    </w:p>
    <w:p>
      <w:pPr>
        <w:ind w:firstLine="760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принцип равенства 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 наставничество реализуется людьми, имеющими равный социальный статус педагога с соответствующей системой прав, обязанностей, ответственности, независимо от ролевой по</w:t>
      </w:r>
      <w:r>
        <w:rPr>
          <w:rFonts w:ascii="Times New Roman" w:hAnsi="Times New Roman" w:eastAsia="Times New Roman"/>
          <w:sz w:val="28"/>
          <w:szCs w:val="28"/>
          <w:lang w:bidi="ru-RU" w:eastAsia="ru-RU"/>
        </w:rPr>
        <w:t xml:space="preserve">зиции в системе наставничества.</w:t>
      </w:r>
      <w:r/>
    </w:p>
    <w:p>
      <w:pPr>
        <w:numPr>
          <w:ilvl w:val="0"/>
          <w:numId w:val="14"/>
        </w:numPr>
        <w:ind w:firstLine="709"/>
        <w:jc w:val="both"/>
        <w:spacing w:after="0" w:line="240" w:lineRule="auto"/>
        <w:widowControl w:val="off"/>
        <w:tabs>
          <w:tab w:val="left" w:pos="1422" w:leader="none"/>
          <w:tab w:val="left" w:pos="2347" w:leader="none"/>
          <w:tab w:val="left" w:pos="386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Участие в системе наставничества не должно наносить ущерба образовательному процессу образовательной организации. Решение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об освобождении наставника и наставляемого от выполнения должностных обязанностей для участия в мероприятиях плана реализации персонализированной программы наставничества принимает руководитель образовательной организации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  <w:t xml:space="preserve">в исключительных случаях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при условии обеспечения непрерывности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образовательного процесса в образовательной организации и замены их отсутствия.</w:t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outlineLvl w:val="0"/>
      </w:pPr>
      <w:r/>
      <w:bookmarkStart w:id="1" w:name="bookmark33"/>
      <w:r/>
      <w:r/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outlineLvl w:val="0"/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t xml:space="preserve">2. </w:t>
      </w:r>
      <w:r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t xml:space="preserve">Цель и задачи системы наставничества. Формы наставничества</w:t>
      </w:r>
      <w:bookmarkEnd w:id="1"/>
      <w:r/>
      <w:r/>
    </w:p>
    <w:p>
      <w:pPr>
        <w:pStyle w:val="762"/>
        <w:ind w:left="1069"/>
        <w:spacing w:after="0" w:line="240" w:lineRule="auto"/>
        <w:widowControl w:val="off"/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outlineLvl w:val="0"/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</w:r>
      <w:r/>
    </w:p>
    <w:p>
      <w:pPr>
        <w:numPr>
          <w:ilvl w:val="0"/>
          <w:numId w:val="16"/>
        </w:numPr>
        <w:ind w:firstLine="709"/>
        <w:jc w:val="both"/>
        <w:spacing w:after="0" w:line="240" w:lineRule="auto"/>
        <w:widowControl w:val="off"/>
        <w:tabs>
          <w:tab w:val="left" w:pos="1422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bCs/>
          <w:iCs/>
          <w:color w:val="000000"/>
          <w:sz w:val="28"/>
          <w:szCs w:val="28"/>
          <w:lang w:bidi="ru-RU" w:eastAsia="ru-RU"/>
        </w:rPr>
        <w:t xml:space="preserve">Цель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системы наставничества педагогических работников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образовательной организации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–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реали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зация комплекса мер по созданию эффективной среды наставничества в образовательной организации, способствующей непрерывному профессиональному росту и самоопределению, личностному и социальному развитию педагогических работников, самореализации и закреплени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ю молодых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специалистов в педагогической профессии.</w:t>
      </w:r>
      <w:r/>
    </w:p>
    <w:p>
      <w:pPr>
        <w:numPr>
          <w:ilvl w:val="0"/>
          <w:numId w:val="16"/>
        </w:numPr>
        <w:ind w:firstLine="709"/>
        <w:jc w:val="both"/>
        <w:spacing w:after="0" w:line="240" w:lineRule="auto"/>
        <w:widowControl w:val="off"/>
        <w:tabs>
          <w:tab w:val="left" w:pos="128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bCs/>
          <w:iCs/>
          <w:color w:val="000000"/>
          <w:sz w:val="28"/>
          <w:szCs w:val="28"/>
          <w:lang w:bidi="ru-RU" w:eastAsia="ru-RU"/>
        </w:rPr>
        <w:t xml:space="preserve">Задачи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системы наставничества педагогических работников: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8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содействовать созд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анию в образовательной организации психологически комфортной образовательной среды наставничества, способствующей раскрытию личностного, профессионального, творческого потенциала педагогов путем проектирования их индивидуальной профессиональной траектории;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8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оказывать помощь в освоении цифровой информационно-коммуникативной среды, эффективных форматов непрерывного профессионального развития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 методической поддержки педагогических работников образовательной организации, региональных систем научно-методического сопровождения педагогических работников и управленческих кадров;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8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содействовать участию в стратегических партнерских отношениях, развитию горизонтальных связей в сфере наставничества на школьном и внешкольном уровнях;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8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способствовать развитию профессиональных компетенций педагогов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условиях цифровой образовательной среды, востребованности использования современных информационно-коммуникативных и педагогических технологий путем внедрения разнообразных, в том числе реверсивных, сетевых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 дистанционных форм наставничества;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8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содействовать увеличению числа закрепившихся в профессии педагогических кадров, в том числе молодых педагогов;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8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оказывать помощь в профессиональной и должностной адаптации педагога,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отношении которого осуществляется наставничество, к услови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ям осуществления педагогической деятельности конкретной образовательной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организации,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ознакомление с традициями и укладом школьной жизни, а также в преодолении профессиональных трудностей, возникающих при выполнении должностных обязанностей;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8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обеспечивать формирование и развитие профессиональных знаний и навыков педагога, в отношении которого осуществляется наставничество;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8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ускорять процесс профессионального становления и развития педагога,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отношении которых осуществляется наставничество, развитие их способно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сти самостоятельно, качественно и ответственно выполнять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возложенные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функциональные обязанности в соответствии с замещаемой должностью;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8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содействовать в выработке навыков профессионального поведения педагогов, в отношении которых осуществляется наставничество, соответствующего профессионально-этическим принципам, а также требованиям, установленным законодательством;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8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знакомить педагогов, в отношении которых осуществляется наставничество,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 эффективными формами и методами индивидуальной работы и работы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коллективе, направленными на развитие их способности самостоятельно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 качественно выполнять возложенные на них должностные обязанности, повышать свой профессиональный уровень.</w:t>
      </w:r>
      <w:r/>
    </w:p>
    <w:p>
      <w:pPr>
        <w:numPr>
          <w:ilvl w:val="0"/>
          <w:numId w:val="16"/>
        </w:numPr>
        <w:ind w:firstLine="709"/>
        <w:jc w:val="both"/>
        <w:spacing w:after="0" w:line="240" w:lineRule="auto"/>
        <w:widowControl w:val="off"/>
        <w:tabs>
          <w:tab w:val="left" w:pos="1320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образовательной организации применяются разно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образные формы наставничества ("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педагог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–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педагог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", "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руководитель образовательной организации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–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педагог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", "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работодатель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–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студент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", "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педагог вуза/колледжа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–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молодой педагог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образовательной организации"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) по отношению к наставнику или группе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наставляемых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. Применение форм наставничества выбирается в зависимости от цели персонализированной программы наставничества педагога, имеющихся профессиональных затруднений, запроса наставляемого и имеющихся кадровых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ресурсов. Формы наставничества используются как в одном виде, так и в комплексе в зависимости от запланированных эффектов.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Виртуальное (дистанционное) наставничество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дистанционная форма организации наставничества с использованием информационно-коммуникационных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технологий, таких как видеоконференции, платформы для дистанционного обучения, социальные сети и онлайн-сообщества, тематические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интернет-порталы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. Обеспечивает постоянное профессиональное и творческое общение, обмен опытом между наставником и наставляемым, позволяет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дистанционно сформировать пары "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наставник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наставляемый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"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, привлечь профессионалов и сформировать банк данных наставников, делает наставничество доступным для широкого круга лиц.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Наставничество в группе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форма наставничества, когда один наставник взаимодействует с группой наставляемых одновременно (от двух и более человек).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Краткосрочное или целеполагающее наставничество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наставник </w:t>
      </w:r>
      <w:r>
        <w:rPr>
          <w:rFonts w:ascii="Times New Roman" w:hAnsi="Times New Roman" w:eastAsia="Times New Roman"/>
          <w:sz w:val="28"/>
          <w:szCs w:val="28"/>
          <w:lang w:bidi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и наставляемый встречаются по заранее установленному графику для постановки конкретных целей, ориентированных на определенные краткосрочные результаты. Наставляемый должен приложить определенные усилия, чтобы проявить себя </w:t>
      </w:r>
      <w:r>
        <w:rPr>
          <w:rFonts w:ascii="Times New Roman" w:hAnsi="Times New Roman" w:eastAsia="Times New Roman"/>
          <w:sz w:val="28"/>
          <w:szCs w:val="28"/>
          <w:lang w:bidi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в период между встречами и достичь поставленных целей.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Реверсивное наставничество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профессионал младшего возраста становится наставником опытного работника по вопросам новых тенденций, технологий, </w:t>
      </w:r>
      <w:r>
        <w:rPr>
          <w:rFonts w:ascii="Times New Roman" w:hAnsi="Times New Roman" w:eastAsia="Times New Roman"/>
          <w:sz w:val="28"/>
          <w:szCs w:val="28"/>
          <w:lang w:bidi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а опытный педагог становится наставником молодого педагога в вопросах методики и организации учебно-воспитательного процесса.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Ситуационное наставничество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наставник оказывает помощь </w:t>
      </w:r>
      <w:r>
        <w:rPr>
          <w:rFonts w:ascii="Times New Roman" w:hAnsi="Times New Roman" w:eastAsia="Times New Roman"/>
          <w:sz w:val="28"/>
          <w:szCs w:val="28"/>
          <w:lang w:bidi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или консультацию всякий раз, когда наставляемый нуждается в них. Как правило, роль наставника состоит в том, чтобы обеспечить немедленное реагирование </w:t>
      </w:r>
      <w:r>
        <w:rPr>
          <w:rFonts w:ascii="Times New Roman" w:hAnsi="Times New Roman" w:eastAsia="Times New Roman"/>
          <w:sz w:val="28"/>
          <w:szCs w:val="28"/>
          <w:lang w:bidi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на ту или иную ситуацию, значимую для его подопечного.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Скоростное наставничество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однократная встреча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наставляемого (наставляемых) с наставником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более высокого уровня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(профессионалом/компетентным лицом) с целью построения взаимоотношений </w:t>
      </w:r>
      <w:r>
        <w:rPr>
          <w:rFonts w:ascii="Times New Roman" w:hAnsi="Times New Roman" w:eastAsia="Times New Roman"/>
          <w:sz w:val="28"/>
          <w:szCs w:val="28"/>
          <w:lang w:bidi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с другими работниками, объединенными общими проблемами и интересами </w:t>
      </w:r>
      <w:r>
        <w:rPr>
          <w:rFonts w:ascii="Times New Roman" w:hAnsi="Times New Roman" w:eastAsia="Times New Roman"/>
          <w:sz w:val="28"/>
          <w:szCs w:val="28"/>
          <w:lang w:bidi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или обменом опытом.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Такие встречи помогают формулировать и устанавливать цели индивидуального развития и карьерного роста на основе информации, полученной из авторитетных источников, обменяться мнениями и личным опытом, а также наладить отношения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"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наставник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наставляемый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".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Традиционная форма наставничества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взаимодействие между более опытным и начинающим работником в течение определенного продолжительного времени. Обычно проводится отбор наставника и наставляемого по определенным критериям: опыт, навыки, личностные характеристики.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Форма наставничества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"</w:t>
      </w: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учитель </w:t>
      </w: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–</w:t>
      </w: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 учитель</w:t>
      </w: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"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способ реализации целевой модели наставничества через организацию взаи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модействия наставнической пары "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учитель-профессионал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учитель, вовлеченный в различные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формы поддержки </w:t>
      </w:r>
      <w:r>
        <w:rPr>
          <w:rFonts w:ascii="Times New Roman" w:hAnsi="Times New Roman" w:eastAsia="Times New Roman"/>
          <w:sz w:val="28"/>
          <w:szCs w:val="28"/>
          <w:lang w:bidi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и сопровождения"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Форма наставничества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"</w:t>
      </w: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руководитель образовательной организации </w:t>
      </w: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–</w:t>
      </w: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 учитель</w:t>
      </w:r>
      <w:r>
        <w:rPr>
          <w:rFonts w:ascii="Times New Roman" w:hAnsi="Times New Roman" w:eastAsia="Times New Roman"/>
          <w:bCs/>
          <w:iCs/>
          <w:sz w:val="28"/>
          <w:szCs w:val="28"/>
          <w:lang w:bidi="ru-RU"/>
        </w:rPr>
        <w:t xml:space="preserve">"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способ реализации целевой модели наставничества через организацию взаи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модействия наставнической пары "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руководитель образовательной организации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–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учитель"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, нацеленную на совершенствование образовательного процесса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 достижение желаемых результатов руководителем образовательной организации посредством создания необходимых организационно-педагогических, кадровых, методических, психолого-педагогических условий и ресурсов.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/>
    </w:p>
    <w:p>
      <w:pPr>
        <w:numPr>
          <w:ilvl w:val="0"/>
          <w:numId w:val="18"/>
        </w:numPr>
        <w:ind w:firstLine="709"/>
        <w:jc w:val="center"/>
        <w:spacing w:after="0" w:line="240" w:lineRule="auto"/>
        <w:widowControl w:val="off"/>
        <w:tabs>
          <w:tab w:val="left" w:pos="1081" w:leader="none"/>
        </w:tabs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outlineLvl w:val="0"/>
      </w:pPr>
      <w:r/>
      <w:bookmarkStart w:id="2" w:name="bookmark34"/>
      <w:r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t xml:space="preserve">Организация системы наставничества</w:t>
      </w:r>
      <w:bookmarkEnd w:id="2"/>
      <w:r/>
      <w:r/>
    </w:p>
    <w:p>
      <w:pPr>
        <w:ind w:left="709"/>
        <w:spacing w:after="0" w:line="240" w:lineRule="auto"/>
        <w:widowControl w:val="off"/>
        <w:tabs>
          <w:tab w:val="left" w:pos="1081" w:leader="none"/>
        </w:tabs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outlineLvl w:val="0"/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270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Наставничество организуется на основании приказа руководите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ля образовательной организации "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Об утверждении положения о системе наставничества педагогических работников в образо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вательной организации"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.</w:t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270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Педагогический работник назначается наставником с его письменного согласия приказом руководителя образовательной организации.</w:t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Руководитель образовательной организации: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осуществляет общее руководство и координацию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внедрения системы наставничества педагогических работников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образовательной организации;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издает локальные акты образовательной организации о внедрении системы наставничества и организации наставничества педагогических работников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образовательной организации;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утверждает куратора реализации программ наставничества, способствует отбору наставников и наста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вляемых, а также утверждает их;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утверждает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д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орожную карту (план мероприятий) по реализации Положения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 системе наставничества педагогическ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их работников в образовательной организации;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издает прика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з(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ы) о закреплении наставнических пар/групп с письменного согласия их участников на возложение на них дополнительных обязанностей, связанных с наставнической деяте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льностью;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способствует созданию сетевого взаимодействия в сфере наставничества, осуществляет контакты с различными учреждениями и организациями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по проблемам наставничества (заключение договоров о сотрудничестве,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 социальном партнерстве, проведение координационных совещаний, участие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конференциях, форумах,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вебинарах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, семинарах по проблемам наставничества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);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способствует организации условий для непрерывного повышения профессионального мастерства педагогических работников, аккумулирования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 распространения лучших практик наставничества педагогических работников.</w:t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Куратор реализации программ наставничества: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назначается руководителем образовательной организации из числа заместителей руководителя;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своевременно (не менее одного раза в год) актуализирует информацию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 наличии в образовательной организации педагогов, которых необходимо включить в наставническую деятел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ьность в качестве наставляемых;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предлагает руководителю образовательной организации для утверждения состава школьного методического объединения наставников для утверждения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(п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ри необходимости его создания);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разрабатывает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д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орожную карту (план мероприятий) по реализации Положения о системе наставничества педагогических работников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в образовательной организации;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совместно с системным администратором ведет банк (персонифицированный учет) наставников и наставляемых, в том числе в цифровом формате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 использованием ресурсов Интернета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–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официального сайта образовательной организа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ции/страницы, социальных сетей;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формирует банк индивидуальных/групповых персонализированных программ наставничества педагогических работников, осуществляет описание наиболее успешного и эффективного опыта совместно со школьным методическим советом наставник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ов и системным администратором;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осуществляет координацию деятельности по наставничеству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 ответственными и неформальными представителями региональной системы наставничества, с сетевым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 педагогическими сообществами;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организует повышение уровня профессионального мастерства наставников,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том числе на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стажировочных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площадках и в базовых школах с привлечением наставников из друг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их образовательных организаций;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курирует процесс разработки и реализации персонализиро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ванных программ наставничества;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организует совместно с руководителем образовательной организации мониторинг реализации системы наставничества педагогических работников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  <w:t xml:space="preserve">в образовательной организации;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осуществляет монитори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нг эффективности и результативности реализации системы наставничества в образовательной организации, оценку вовлеченности педагогов в различные формы наставничества и повышения квалификации педагогических работников, формирует итоговый аналитический отчет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 реализации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системы наставничества, реализации персонализированных программ наставниче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ства педагогических работников;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фиксирует данные о количестве участников персонализированных программ наставничества в формах статистического наблюдения (совместно с системным администратором).</w:t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421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Методическое объединение наставников/комиссия/совет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(при его наличии):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421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совместно с куратором принимает участие в разработке локальных актов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 информационно-методического сопровождения в сфере наставничества педагогических работников в образовательной организации;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421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ведет учет сведений о молодых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специалистах и иных категориях наставляемых и их наставниках; помогает подбирать и закрепля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ет пары (группы) наставников и наставляемых по определенным вопросам (предметное содержание, методика обучения и преподавания, воспитательная деятельность, организация урочной и внеурочной деятельности, психолого-педагогическое сопровождение наставляемых и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наставников);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421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разрабатывает, апробирует и реализует персонализированные программы наставничества, содержание которых соответствует запросу отдельных педагогов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 г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рупп педагогических работников;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421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принимает участие в разработке методического сопровождения разнообразных форм наставниче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ства педагогических работников;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421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осуществляет подготовку участников персонализированных программ наставничества к мероприятиям: конкурсам профессионального мастерства, форумам, научно-практи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ческим конференциям, фестивалям;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421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осуществляет организационно-педагогическое, учебно-методическое, обеспечение реализации персонализированных программ наставничества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образовательной организации;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421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участвует в мониторинге реализации персонализированных программ наставничества педаг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огических работников;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421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является открытой площадкой для осуществления консультационных, согласователь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ных функций и функций медиации;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421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совместно с руководителем образовательной организации, куратором реализации программ наставничества участвует в разработке материальных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 нематериальных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стимулов поощрения наставников;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421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принимает участие в формировании банк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а лучших практик наставничества педагогических работников, информационном сопровождении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персонализированных программ наставничества на сайте (специализированной странице сайта) образовательной организации и социальных сетях (совместно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 куратором и системным администратором).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421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numPr>
          <w:ilvl w:val="0"/>
          <w:numId w:val="18"/>
        </w:numPr>
        <w:ind w:firstLine="709"/>
        <w:jc w:val="center"/>
        <w:spacing w:after="0" w:line="240" w:lineRule="auto"/>
        <w:widowControl w:val="off"/>
        <w:tabs>
          <w:tab w:val="left" w:pos="1092" w:leader="none"/>
        </w:tabs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outlineLvl w:val="0"/>
      </w:pPr>
      <w:r/>
      <w:bookmarkStart w:id="3" w:name="bookmark35"/>
      <w:r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t xml:space="preserve">Права и обязанности наставника</w:t>
      </w:r>
      <w:bookmarkEnd w:id="3"/>
      <w:r/>
      <w:r/>
    </w:p>
    <w:p>
      <w:pPr>
        <w:ind w:left="709"/>
        <w:spacing w:after="0" w:line="240" w:lineRule="auto"/>
        <w:widowControl w:val="off"/>
        <w:tabs>
          <w:tab w:val="left" w:pos="1092" w:leader="none"/>
        </w:tabs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outlineLvl w:val="0"/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29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Права наставника: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9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привлекать для оказания помощи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наставляемому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других педагогических работников образовательной организации с их согласия;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9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знакомиться в установленном порядке с материалами личного дела наставляемого или получать другую информацию о лице, в отношении которого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осуществляется наставничество;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9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обращаться с заявлением к куратору и руководителю образовательной организации с просьбой о сложении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 него обязанностей наставника;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9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осуществлять мониторинг деятельности наставляемого в форме личной проверки выполнения заданий.</w:t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29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Обязанности наставника: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9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руководствоваться требованиями законодательства Российской Федерации, региональными и локальными нормативными правовыми актами образовательной организации при осуществлении наставнической деятельности;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9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находиться во взаимодействии со всеми структурами образовательной организации, осуществляющими работу с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наставляемым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по программе наставничества (предметные кафедры, психологические службы, школа молодого учителя, методичес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кий (педагогический) совет);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9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осуществлять включение молодого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специалиста в общественную жизнь коллектива, содействовать расширению общекультурного и проф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ессионального кругозора, в том числе и на личном примере;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9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создавать условия для созидания и научного поиска, творчества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педагогическом процессе через привлечени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е к инновационной деятельности;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9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содействовать укреплению и повышению уровня престижности преподавательской деятельности, организуя участие в мероприятиях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  <w:t xml:space="preserve">для молодых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педагогов различных уровней (профессиональные кон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курсы, конференции, форумы);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9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участвовать в обсуждении вопросов, связанных с педагогической деятельностью наставляемого, вносить предложения о его поощрении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или применении м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ер дисциплинарного воздействия;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9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рекомендовать участие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наставляемого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в профессиональных региональных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 федеральных конкурсах, оказывать всестороннюю поддержку и методическое сопровождение.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98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numPr>
          <w:ilvl w:val="0"/>
          <w:numId w:val="18"/>
        </w:numPr>
        <w:ind w:firstLine="709"/>
        <w:jc w:val="center"/>
        <w:spacing w:after="0" w:line="240" w:lineRule="auto"/>
        <w:widowControl w:val="off"/>
        <w:tabs>
          <w:tab w:val="left" w:pos="1102" w:leader="none"/>
        </w:tabs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outlineLvl w:val="0"/>
      </w:pPr>
      <w:r/>
      <w:bookmarkStart w:id="4" w:name="bookmark36"/>
      <w:r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t xml:space="preserve">Права и обязанности наставляемого</w:t>
      </w:r>
      <w:bookmarkEnd w:id="4"/>
      <w:r/>
      <w:r/>
    </w:p>
    <w:p>
      <w:pPr>
        <w:ind w:left="709"/>
        <w:spacing w:after="0" w:line="240" w:lineRule="auto"/>
        <w:widowControl w:val="off"/>
        <w:tabs>
          <w:tab w:val="left" w:pos="1102" w:leader="none"/>
        </w:tabs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outlineLvl w:val="0"/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Права наставляемого:</w:t>
      </w:r>
      <w:r/>
    </w:p>
    <w:p>
      <w:pPr>
        <w:ind w:left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систематически повышать свой профессиональный уровень;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участвовать в составлении персонализированной программы наставничества педагогических работников;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обращаться к наставнику за помощью по вопросам, связанным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 должностными обязанностями,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профессиональной деятельностью;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вносить на рассмотрение предложения по совершенствованию персонализированных программ наставничества педагогических работник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ов образовательной организации;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обращаться к куратору и руководителю образовательной организации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 ходатайством о замене наставника.</w:t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Обязанности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наставляемого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: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изучать Федеральный закон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от 29 декабря 2012 г. № 273-ФЗ "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Об обр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азовании в Российской Федерации"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, иные федеральные, региональные, муниципальные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 локальные нормативные правовые акты, регулирующие образовательную деятельность, деятельность в сфере наставничества педагогических работников;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реализовывать мероприятия плана персонализированной программы настав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ничества в установленные сроки;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соблюдать правила внутреннего трудового распоряд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ка образовательной организации;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знать обязанности, предусмотренные должностной инструкцией, основные направления профессиональной деятельности, полномочия и организацию работы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  <w:t xml:space="preserve">в образовательной организации;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выполнять указания и рекомендации наставника по исполнению должностных,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профессиональных обязанностей;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совершенствовать профессиональные навыки, практические приемы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 способы качественного испол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нения должностных обязанностей;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устранять совместно с наставником допущенные ошибки и выявленные затруднения;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проявлять дисциплинированность, организованность и культуру в работе </w:t>
      </w:r>
      <w:r>
        <w:rPr>
          <w:rFonts w:ascii="Times New Roman" w:hAnsi="Times New Roman" w:eastAsia="Times New Roman"/>
          <w:sz w:val="28"/>
          <w:szCs w:val="28"/>
          <w:lang w:bidi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и учебе;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учиться у наставника передовым, инновационным методам и формам работы, правильно строить свои взаимоотношения с ним.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79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numPr>
          <w:ilvl w:val="0"/>
          <w:numId w:val="18"/>
        </w:numPr>
        <w:ind w:firstLine="709"/>
        <w:jc w:val="center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bCs/>
          <w:sz w:val="28"/>
          <w:szCs w:val="28"/>
          <w:lang w:bidi="ru-RU"/>
        </w:rPr>
      </w:pPr>
      <w:r/>
      <w:bookmarkStart w:id="5" w:name="bookmark37"/>
      <w:r>
        <w:rPr>
          <w:rFonts w:ascii="Times New Roman" w:hAnsi="Times New Roman" w:eastAsia="Times New Roman"/>
          <w:bCs/>
          <w:sz w:val="28"/>
          <w:szCs w:val="28"/>
          <w:lang w:bidi="ru-RU"/>
        </w:rPr>
        <w:t xml:space="preserve">Процесс формирования пар и групп наставников и педагогов, </w:t>
      </w:r>
      <w:r>
        <w:rPr>
          <w:rFonts w:ascii="Times New Roman" w:hAnsi="Times New Roman" w:eastAsia="Times New Roman"/>
          <w:bCs/>
          <w:sz w:val="28"/>
          <w:szCs w:val="28"/>
          <w:lang w:bidi="ru-RU"/>
        </w:rPr>
        <w:br/>
      </w:r>
      <w:r>
        <w:rPr>
          <w:rFonts w:ascii="Times New Roman" w:hAnsi="Times New Roman" w:eastAsia="Times New Roman"/>
          <w:bCs/>
          <w:sz w:val="28"/>
          <w:szCs w:val="28"/>
          <w:lang w:bidi="ru-RU"/>
        </w:rPr>
        <w:t xml:space="preserve">в отношении которых осуществляется наставничество</w:t>
      </w:r>
      <w:bookmarkEnd w:id="5"/>
      <w:r/>
      <w:r/>
    </w:p>
    <w:p>
      <w:pPr>
        <w:ind w:left="709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bCs/>
          <w:sz w:val="28"/>
          <w:szCs w:val="28"/>
          <w:lang w:bidi="ru-RU"/>
        </w:rPr>
      </w:pPr>
      <w:r>
        <w:rPr>
          <w:rFonts w:ascii="Times New Roman" w:hAnsi="Times New Roman" w:eastAsia="Times New Roman"/>
          <w:bCs/>
          <w:sz w:val="28"/>
          <w:szCs w:val="28"/>
          <w:lang w:bidi="ru-RU"/>
        </w:rPr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Формирование наставнических пар (групп) осуществляется по основным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критериям: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профессиональный профиль или личный (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компетентностный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) опыт наставника должны соответствовать запросам наставляемого или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наставляемых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у наставнической пары (группы) должен сложиться взаимный интерес </w:t>
      </w:r>
      <w:r>
        <w:rPr>
          <w:rFonts w:ascii="Times New Roman" w:hAnsi="Times New Roman" w:eastAsia="Times New Roman"/>
          <w:sz w:val="28"/>
          <w:szCs w:val="28"/>
          <w:lang w:bidi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и симпатия, позволяющие в будущем эффективно взаимодействовать в рамках программы наставничества.</w:t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Сформированные на добровольной основе с непосредственным участием куратора, наставников и педагогов, в отношении которых осуществляется наставничество, пары/группы утверждаются приказом руководителя образовательной организации.</w:t>
      </w:r>
      <w:r/>
    </w:p>
    <w:p>
      <w:pPr>
        <w:ind w:left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</w:r>
      <w:r/>
    </w:p>
    <w:p>
      <w:pPr>
        <w:numPr>
          <w:ilvl w:val="0"/>
          <w:numId w:val="18"/>
        </w:numPr>
        <w:ind w:firstLine="709"/>
        <w:jc w:val="center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bCs/>
          <w:sz w:val="28"/>
          <w:szCs w:val="28"/>
          <w:lang w:bidi="ru-RU"/>
        </w:rPr>
      </w:pPr>
      <w:r/>
      <w:bookmarkStart w:id="6" w:name="bookmark38"/>
      <w:r>
        <w:rPr>
          <w:rFonts w:ascii="Times New Roman" w:hAnsi="Times New Roman" w:eastAsia="Times New Roman"/>
          <w:bCs/>
          <w:sz w:val="28"/>
          <w:szCs w:val="28"/>
          <w:lang w:bidi="ru-RU"/>
        </w:rPr>
        <w:t xml:space="preserve">Завершение персонализированной программы наставничества</w:t>
      </w:r>
      <w:bookmarkEnd w:id="6"/>
      <w:r/>
      <w:r/>
    </w:p>
    <w:p>
      <w:pPr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bCs/>
          <w:sz w:val="28"/>
          <w:szCs w:val="28"/>
          <w:lang w:bidi="ru-RU"/>
        </w:rPr>
      </w:pPr>
      <w:r>
        <w:rPr>
          <w:rFonts w:ascii="Times New Roman" w:hAnsi="Times New Roman" w:eastAsia="Times New Roman"/>
          <w:bCs/>
          <w:sz w:val="28"/>
          <w:szCs w:val="28"/>
          <w:lang w:bidi="ru-RU"/>
        </w:rPr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Завершение персонализированной программы наставничества происходит в случае: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завершения плана мероприятий персонализированной программы наставничества в полном объеме;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по инициативе наставника или наставляемого и/или обоюдному решению </w:t>
      </w:r>
      <w:r>
        <w:rPr>
          <w:rFonts w:ascii="Times New Roman" w:hAnsi="Times New Roman" w:eastAsia="Times New Roman"/>
          <w:sz w:val="28"/>
          <w:szCs w:val="28"/>
          <w:lang w:bidi="ru-RU"/>
        </w:rPr>
        <w:br/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(по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уважительным обстоятельствам);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по инициативе куратора (в случае недолжного исполнения персонализированной программы наставничества в силу различных обстоятельств со стороны наставника и/или наставляемого).</w:t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Изменение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сроков реализации персонализированной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программы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наставничества педагогических работников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По обоюдному согласию наставника и наставляемого/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наставляемых педагогов возможно продление срока реализации персонализированной программы </w:t>
      </w: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наставничества или корректировка ее содержания (например, плана мероприятий, формы наставничества).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</w:r>
      <w:r/>
    </w:p>
    <w:p>
      <w:pPr>
        <w:numPr>
          <w:ilvl w:val="0"/>
          <w:numId w:val="18"/>
        </w:numPr>
        <w:ind w:firstLine="709"/>
        <w:jc w:val="center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bCs/>
          <w:sz w:val="28"/>
          <w:szCs w:val="28"/>
          <w:lang w:bidi="ru-RU"/>
        </w:rPr>
      </w:pPr>
      <w:r>
        <w:rPr>
          <w:rFonts w:ascii="Times New Roman" w:hAnsi="Times New Roman" w:eastAsia="Times New Roman"/>
          <w:bCs/>
          <w:sz w:val="28"/>
          <w:szCs w:val="28"/>
          <w:lang w:bidi="ru-RU"/>
        </w:rPr>
        <w:t xml:space="preserve">Условия </w:t>
      </w:r>
      <w:r>
        <w:rPr>
          <w:rFonts w:ascii="Times New Roman" w:hAnsi="Times New Roman" w:eastAsia="Times New Roman"/>
          <w:bCs/>
          <w:sz w:val="28"/>
          <w:szCs w:val="28"/>
          <w:lang w:bidi="ru-RU"/>
        </w:rPr>
        <w:t xml:space="preserve">публикации результатов персонализированной программы наставничества педагогических работников</w:t>
      </w:r>
      <w:r>
        <w:rPr>
          <w:rFonts w:ascii="Times New Roman" w:hAnsi="Times New Roman" w:eastAsia="Times New Roman"/>
          <w:bCs/>
          <w:sz w:val="28"/>
          <w:szCs w:val="28"/>
          <w:lang w:bidi="ru-RU"/>
        </w:rPr>
        <w:t xml:space="preserve"> на сайте образовательной организации</w:t>
      </w:r>
      <w:r/>
    </w:p>
    <w:p>
      <w:pPr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bCs/>
          <w:sz w:val="28"/>
          <w:szCs w:val="28"/>
          <w:lang w:bidi="ru-RU"/>
        </w:rPr>
      </w:pPr>
      <w:r>
        <w:rPr>
          <w:rFonts w:ascii="Times New Roman" w:hAnsi="Times New Roman" w:eastAsia="Times New Roman"/>
          <w:bCs/>
          <w:sz w:val="28"/>
          <w:szCs w:val="28"/>
          <w:lang w:bidi="ru-RU"/>
        </w:rPr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  <w:lang w:bidi="ru-RU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Для размещения информации о реализации персонализированной программы наставничества педагогических работников на официальном сайте образовательной организации создается специальный раздел (рубрика).</w:t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212" w:leader="none"/>
        </w:tabs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bidi="ru-RU"/>
        </w:rPr>
        <w:t xml:space="preserve">На сайте размещаются сведения о реализуемых персонализированных</w:t>
      </w:r>
      <w:r>
        <w:rPr>
          <w:rFonts w:ascii="Times New Roman" w:hAnsi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программах наставничества педагогических работников, базы наставников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 наставляемых, лучшие кейсы персонализированных программ наставничества педагогических работников, федеральная, региональная и локальная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нормативно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правовая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 база в сфере наставничества педагогических работников, методические рекомендации, новости и анонсы мероприятий и программ наставничества педагогических работников в образовательной организации.</w:t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637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Результаты персонализированных программ наставничества педагогических работников в образовательной организации публикуются после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их завершения.</w:t>
      </w:r>
      <w:r/>
    </w:p>
    <w:p>
      <w:pPr>
        <w:ind w:left="709"/>
        <w:jc w:val="both"/>
        <w:spacing w:after="0" w:line="240" w:lineRule="auto"/>
        <w:widowControl w:val="off"/>
        <w:tabs>
          <w:tab w:val="left" w:pos="1637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numPr>
          <w:ilvl w:val="0"/>
          <w:numId w:val="18"/>
        </w:numPr>
        <w:ind w:firstLine="709"/>
        <w:jc w:val="center"/>
        <w:spacing w:after="0" w:line="240" w:lineRule="auto"/>
        <w:widowControl w:val="off"/>
        <w:tabs>
          <w:tab w:val="left" w:pos="1062" w:leader="none"/>
        </w:tabs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outlineLvl w:val="0"/>
      </w:pPr>
      <w:r/>
      <w:bookmarkStart w:id="7" w:name="bookmark39"/>
      <w:r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t xml:space="preserve">Заключительные положения</w:t>
      </w:r>
      <w:bookmarkEnd w:id="7"/>
      <w:r/>
      <w:r/>
    </w:p>
    <w:p>
      <w:pPr>
        <w:ind w:left="709"/>
        <w:spacing w:after="0" w:line="240" w:lineRule="auto"/>
        <w:widowControl w:val="off"/>
        <w:tabs>
          <w:tab w:val="left" w:pos="1062" w:leader="none"/>
        </w:tabs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  <w:outlineLvl w:val="0"/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bidi="ru-RU" w:eastAsia="ru-RU"/>
        </w:rPr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313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Настоящее Положение вступает в силу с момента утверждения руководителем образовательной организации и действует бессрочно.</w:t>
      </w:r>
      <w:r/>
    </w:p>
    <w:p>
      <w:pPr>
        <w:numPr>
          <w:ilvl w:val="1"/>
          <w:numId w:val="18"/>
        </w:numPr>
        <w:ind w:firstLine="709"/>
        <w:jc w:val="both"/>
        <w:spacing w:after="0" w:line="240" w:lineRule="auto"/>
        <w:widowControl w:val="off"/>
        <w:tabs>
          <w:tab w:val="left" w:pos="1313" w:leader="none"/>
        </w:tabs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настоящее Положение могут быть внесены изменения и дополнения </w:t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br/>
      </w: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  <w:t xml:space="preserve">в соответствии с вновь принятыми законодательными и иными нормативными актами Российской Федерации и вновь принятыми локальными нормативными актами образовательной организации.</w:t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r>
      <w:r/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8"/>
          <w:szCs w:val="28"/>
          <w:lang w:bidi="ru-RU" w:eastAsia="ru-RU"/>
        </w:rPr>
      </w:pPr>
      <w:r/>
      <w:bookmarkStart w:id="8" w:name="_GoBack"/>
      <w:r/>
      <w:bookmarkEnd w:id="8"/>
      <w:r/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993" w:right="567" w:bottom="851" w:left="1134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Verdana">
    <w:panose1 w:val="020B0603030804020204"/>
  </w:font>
  <w:font w:name="Tahoma">
    <w:panose1 w:val="020B0506030602030204"/>
  </w:font>
  <w:font w:name="Courier New">
    <w:panose1 w:val="020704090202050204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6"/>
      <w:rPr>
        <w:rStyle w:val="761"/>
        <w:rFonts w:ascii="Times New Roman" w:hAnsi="Times New Roman"/>
        <w:sz w:val="24"/>
        <w:szCs w:val="24"/>
      </w:rPr>
      <w:framePr w:w="331" w:wrap="around" w:vAnchor="text" w:hAnchor="page" w:x="5821" w:y="-108"/>
    </w:pPr>
    <w:r>
      <w:rPr>
        <w:rStyle w:val="761"/>
        <w:rFonts w:ascii="Times New Roman" w:hAnsi="Times New Roman"/>
        <w:sz w:val="24"/>
        <w:szCs w:val="24"/>
      </w:rPr>
      <w:fldChar w:fldCharType="begin"/>
    </w:r>
    <w:r>
      <w:rPr>
        <w:rStyle w:val="761"/>
        <w:rFonts w:ascii="Times New Roman" w:hAnsi="Times New Roman"/>
        <w:sz w:val="24"/>
        <w:szCs w:val="24"/>
      </w:rPr>
      <w:instrText xml:space="preserve">PAGE  </w:instrText>
    </w:r>
    <w:r>
      <w:rPr>
        <w:rStyle w:val="761"/>
        <w:rFonts w:ascii="Times New Roman" w:hAnsi="Times New Roman"/>
        <w:sz w:val="24"/>
        <w:szCs w:val="24"/>
      </w:rPr>
      <w:fldChar w:fldCharType="separate"/>
    </w:r>
    <w:r>
      <w:rPr>
        <w:rStyle w:val="761"/>
        <w:rFonts w:ascii="Times New Roman" w:hAnsi="Times New Roman"/>
        <w:sz w:val="24"/>
        <w:szCs w:val="24"/>
      </w:rPr>
      <w:t xml:space="preserve">8</w:t>
    </w:r>
    <w:r>
      <w:rPr>
        <w:rStyle w:val="761"/>
        <w:rFonts w:ascii="Times New Roman" w:hAnsi="Times New Roman"/>
        <w:sz w:val="24"/>
        <w:szCs w:val="24"/>
      </w:rPr>
      <w:fldChar w:fldCharType="end"/>
    </w:r>
    <w:r/>
  </w:p>
  <w:p>
    <w:pPr>
      <w:pStyle w:val="756"/>
      <w:tabs>
        <w:tab w:val="left" w:pos="5103" w:leader="none"/>
      </w:tabs>
    </w:pPr>
    <w:r/>
    <w:r/>
  </w:p>
  <w:p>
    <w:pPr>
      <w:pStyle w:val="75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6"/>
      <w:rPr>
        <w:rStyle w:val="761"/>
      </w:rPr>
      <w:framePr w:wrap="around" w:vAnchor="text" w:hAnchor="margin" w:xAlign="center" w:y="1"/>
    </w:pPr>
    <w:r>
      <w:rPr>
        <w:rStyle w:val="761"/>
      </w:rPr>
      <w:fldChar w:fldCharType="begin"/>
    </w:r>
    <w:r>
      <w:rPr>
        <w:rStyle w:val="761"/>
      </w:rPr>
      <w:instrText xml:space="preserve">PAGE  </w:instrText>
    </w:r>
    <w:r>
      <w:rPr>
        <w:rStyle w:val="761"/>
      </w:rPr>
      <w:fldChar w:fldCharType="end"/>
    </w:r>
    <w:r/>
  </w:p>
  <w:p>
    <w:pPr>
      <w:pStyle w:val="75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92" w:hanging="360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952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112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8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62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2.%1.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02" w:hanging="360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•"/>
      <w:lvlJc w:val="left"/>
      <w:pPr>
        <w:ind w:left="2626" w:hanging="360"/>
      </w:pPr>
      <w:rPr>
        <w:rFonts w:hint="default"/>
        <w:lang w:val="ru-RU" w:bidi="ar-SA" w:eastAsia="en-US"/>
      </w:rPr>
    </w:lvl>
    <w:lvl w:ilvl="2">
      <w:start w:val="1"/>
      <w:numFmt w:val="bullet"/>
      <w:isLgl w:val="false"/>
      <w:suff w:val="tab"/>
      <w:lvlText w:val="•"/>
      <w:lvlJc w:val="left"/>
      <w:pPr>
        <w:ind w:left="3553" w:hanging="360"/>
      </w:pPr>
      <w:rPr>
        <w:rFonts w:hint="default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4479" w:hanging="360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5406" w:hanging="360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6333" w:hanging="360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7259" w:hanging="360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8186" w:hanging="360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9113" w:hanging="360"/>
      </w:pPr>
      <w:rPr>
        <w:rFonts w:hint="default"/>
        <w:lang w:val="ru-RU" w:bidi="ar-SA" w:eastAsia="en-U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888" w:hanging="528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cs="Times New Roman" w:eastAsia="Times New Roman"/>
        <w:b w:val="0"/>
        <w:bCs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cs="Times New Roman" w:eastAsia="Times New Roman"/>
        <w:b w:val="0"/>
        <w:bCs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5">
    <w:multiLevelType w:val="hybridMultilevel"/>
    <w:lvl w:ilvl="0">
      <w:start w:val="3"/>
      <w:numFmt w:val="decimal"/>
      <w:isLgl w:val="false"/>
      <w:suff w:val="tab"/>
      <w:lvlText w:val="2.%1."/>
      <w:lvlJc w:val="left"/>
      <w:pPr/>
      <w:rPr>
        <w:rFonts w:ascii="Times New Roman" w:hAnsi="Times New Roman" w:cs="Times New Roman" w:eastAsia="Times New Roman"/>
        <w:b w:val="0"/>
        <w:bCs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7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3" w:hanging="721"/>
        <w:jc w:val="right"/>
      </w:pPr>
      <w:rPr>
        <w:rFonts w:ascii="Times New Roman" w:hAnsi="Times New Roman" w:cs="Times New Roman" w:eastAsia="Times New Roman" w:hint="default"/>
        <w:b/>
        <w:bCs/>
        <w:spacing w:val="0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–"/>
      <w:lvlJc w:val="left"/>
      <w:pPr>
        <w:ind w:left="708" w:hanging="708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2">
      <w:start w:val="1"/>
      <w:numFmt w:val="bullet"/>
      <w:isLgl w:val="false"/>
      <w:suff w:val="tab"/>
      <w:lvlText w:val="–"/>
      <w:lvlJc w:val="left"/>
      <w:pPr>
        <w:ind w:left="492" w:hanging="564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276" w:hanging="564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4375" w:hanging="564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5473" w:hanging="564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6572" w:hanging="564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7670" w:hanging="564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8769" w:hanging="564"/>
      </w:pPr>
      <w:rPr>
        <w:rFonts w:hint="default"/>
        <w:lang w:val="ru-RU" w:bidi="ar-SA" w:eastAsia="en-U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4"/>
        <w:szCs w:val="24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1.%1.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1">
    <w:multiLevelType w:val="hybridMultilevel"/>
    <w:lvl w:ilvl="0">
      <w:start w:val="3"/>
      <w:numFmt w:val="decimal"/>
      <w:isLgl w:val="false"/>
      <w:suff w:val="tab"/>
      <w:lvlText w:val="%1."/>
      <w:lvlJc w:val="left"/>
      <w:pPr/>
      <w:rPr>
        <w:rFonts w:ascii="Times New Roman" w:hAnsi="Times New Roman" w:cs="Times New Roman" w:eastAsia="Times New Roman"/>
        <w:b w:val="0"/>
        <w:bCs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cs="Times New Roman" w:eastAsia="Times New Roman"/>
        <w:b w:val="0"/>
        <w:bCs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—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1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8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55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2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0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7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84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1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880" w:hanging="180"/>
      </w:pPr>
    </w:lvl>
  </w:abstractNum>
  <w:abstractNum w:abstractNumId="33">
    <w:multiLevelType w:val="hybridMultilevel"/>
    <w:lvl w:ilvl="0">
      <w:start w:val="2"/>
      <w:numFmt w:val="decimal"/>
      <w:isLgl w:val="false"/>
      <w:suff w:val="tab"/>
      <w:lvlText w:val="%1)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4">
    <w:multiLevelType w:val="hybridMultilevel"/>
    <w:lvl w:ilvl="0">
      <w:start w:val="3"/>
      <w:numFmt w:val="decimal"/>
      <w:isLgl w:val="false"/>
      <w:suff w:val="tab"/>
      <w:lvlText w:val="%1."/>
      <w:lvlJc w:val="left"/>
      <w:pPr/>
      <w:rPr>
        <w:rFonts w:ascii="Times New Roman" w:hAnsi="Times New Roman" w:cs="Times New Roman" w:eastAsia="Times New Roman"/>
        <w:b w:val="0"/>
        <w:bCs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—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8"/>
        <w:szCs w:val="28"/>
        <w:u w:val="none"/>
        <w:lang w:val="ru-RU" w:bidi="ru-RU" w:eastAsia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num w:numId="1">
    <w:abstractNumId w:val="11"/>
  </w:num>
  <w:num w:numId="2">
    <w:abstractNumId w:val="17"/>
  </w:num>
  <w:num w:numId="3">
    <w:abstractNumId w:val="2"/>
  </w:num>
  <w:num w:numId="4">
    <w:abstractNumId w:val="24"/>
  </w:num>
  <w:num w:numId="5">
    <w:abstractNumId w:val="22"/>
  </w:num>
  <w:num w:numId="6">
    <w:abstractNumId w:val="6"/>
  </w:num>
  <w:num w:numId="7">
    <w:abstractNumId w:val="0"/>
  </w:num>
  <w:num w:numId="8">
    <w:abstractNumId w:val="1"/>
  </w:num>
  <w:num w:numId="9">
    <w:abstractNumId w:val="31"/>
  </w:num>
  <w:num w:numId="10">
    <w:abstractNumId w:val="5"/>
  </w:num>
  <w:num w:numId="11">
    <w:abstractNumId w:val="3"/>
  </w:num>
  <w:num w:numId="12">
    <w:abstractNumId w:val="4"/>
  </w:num>
  <w:num w:numId="13">
    <w:abstractNumId w:val="8"/>
  </w:num>
  <w:num w:numId="14">
    <w:abstractNumId w:val="20"/>
  </w:num>
  <w:num w:numId="15">
    <w:abstractNumId w:val="14"/>
  </w:num>
  <w:num w:numId="16">
    <w:abstractNumId w:val="9"/>
  </w:num>
  <w:num w:numId="17">
    <w:abstractNumId w:val="29"/>
  </w:num>
  <w:num w:numId="18">
    <w:abstractNumId w:val="34"/>
  </w:num>
  <w:num w:numId="19">
    <w:abstractNumId w:val="26"/>
  </w:num>
  <w:num w:numId="20">
    <w:abstractNumId w:val="30"/>
  </w:num>
  <w:num w:numId="21">
    <w:abstractNumId w:val="13"/>
  </w:num>
  <w:num w:numId="22">
    <w:abstractNumId w:val="16"/>
  </w:num>
  <w:num w:numId="23">
    <w:abstractNumId w:val="15"/>
  </w:num>
  <w:num w:numId="24">
    <w:abstractNumId w:val="35"/>
  </w:num>
  <w:num w:numId="25">
    <w:abstractNumId w:val="21"/>
  </w:num>
  <w:num w:numId="26">
    <w:abstractNumId w:val="37"/>
  </w:num>
  <w:num w:numId="27">
    <w:abstractNumId w:val="33"/>
  </w:num>
  <w:num w:numId="28">
    <w:abstractNumId w:val="28"/>
  </w:num>
  <w:num w:numId="29">
    <w:abstractNumId w:val="27"/>
  </w:num>
  <w:num w:numId="30">
    <w:abstractNumId w:val="19"/>
  </w:num>
  <w:num w:numId="31">
    <w:abstractNumId w:val="38"/>
  </w:num>
  <w:num w:numId="32">
    <w:abstractNumId w:val="23"/>
  </w:num>
  <w:num w:numId="33">
    <w:abstractNumId w:val="12"/>
  </w:num>
  <w:num w:numId="34">
    <w:abstractNumId w:val="18"/>
  </w:num>
  <w:num w:numId="35">
    <w:abstractNumId w:val="25"/>
  </w:num>
  <w:num w:numId="36">
    <w:abstractNumId w:val="10"/>
  </w:num>
  <w:num w:numId="37">
    <w:abstractNumId w:val="36"/>
  </w:num>
  <w:num w:numId="38">
    <w:abstractNumId w:val="32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Calibri" w:hint="default"/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752"/>
    <w:link w:val="75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750"/>
    <w:next w:val="750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752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750"/>
    <w:next w:val="750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752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50"/>
    <w:next w:val="750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5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50"/>
    <w:next w:val="750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5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50"/>
    <w:next w:val="750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5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50"/>
    <w:next w:val="750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5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50"/>
    <w:next w:val="750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5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50"/>
    <w:next w:val="750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5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750"/>
    <w:next w:val="750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752"/>
    <w:link w:val="32"/>
    <w:uiPriority w:val="10"/>
    <w:rPr>
      <w:sz w:val="48"/>
      <w:szCs w:val="48"/>
    </w:rPr>
  </w:style>
  <w:style w:type="paragraph" w:styleId="34">
    <w:name w:val="Subtitle"/>
    <w:basedOn w:val="750"/>
    <w:next w:val="750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52"/>
    <w:link w:val="34"/>
    <w:uiPriority w:val="11"/>
    <w:rPr>
      <w:sz w:val="24"/>
      <w:szCs w:val="24"/>
    </w:rPr>
  </w:style>
  <w:style w:type="paragraph" w:styleId="36">
    <w:name w:val="Quote"/>
    <w:basedOn w:val="750"/>
    <w:next w:val="750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50"/>
    <w:next w:val="750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52"/>
    <w:link w:val="756"/>
    <w:uiPriority w:val="99"/>
  </w:style>
  <w:style w:type="character" w:styleId="43">
    <w:name w:val="Footer Char"/>
    <w:basedOn w:val="752"/>
    <w:link w:val="758"/>
    <w:uiPriority w:val="99"/>
  </w:style>
  <w:style w:type="paragraph" w:styleId="44">
    <w:name w:val="Caption"/>
    <w:basedOn w:val="750"/>
    <w:next w:val="7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58"/>
    <w:uiPriority w:val="99"/>
  </w:style>
  <w:style w:type="table" w:styleId="47">
    <w:name w:val="Table Grid Light"/>
    <w:basedOn w:val="7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50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52"/>
    <w:uiPriority w:val="99"/>
    <w:unhideWhenUsed/>
    <w:rPr>
      <w:vertAlign w:val="superscript"/>
    </w:rPr>
  </w:style>
  <w:style w:type="paragraph" w:styleId="176">
    <w:name w:val="endnote text"/>
    <w:basedOn w:val="750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52"/>
    <w:uiPriority w:val="99"/>
    <w:semiHidden/>
    <w:unhideWhenUsed/>
    <w:rPr>
      <w:vertAlign w:val="superscript"/>
    </w:rPr>
  </w:style>
  <w:style w:type="paragraph" w:styleId="179">
    <w:name w:val="toc 1"/>
    <w:basedOn w:val="750"/>
    <w:next w:val="750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50"/>
    <w:next w:val="750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50"/>
    <w:next w:val="750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50"/>
    <w:next w:val="750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50"/>
    <w:next w:val="750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50"/>
    <w:next w:val="750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50"/>
    <w:next w:val="750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50"/>
    <w:next w:val="750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50"/>
    <w:next w:val="750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50"/>
    <w:next w:val="750"/>
    <w:uiPriority w:val="99"/>
    <w:unhideWhenUsed/>
    <w:pPr>
      <w:spacing w:after="0" w:afterAutospacing="0"/>
    </w:pPr>
  </w:style>
  <w:style w:type="paragraph" w:styleId="750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51">
    <w:name w:val="Heading 1"/>
    <w:basedOn w:val="750"/>
    <w:next w:val="750"/>
    <w:link w:val="760"/>
    <w:qFormat/>
    <w:pPr>
      <w:keepNext/>
      <w:spacing w:before="240" w:after="60"/>
      <w:outlineLvl w:val="0"/>
    </w:pPr>
    <w:rPr>
      <w:rFonts w:ascii="Arial" w:hAnsi="Arial" w:eastAsia="Times New Roman"/>
      <w:b/>
      <w:bCs/>
      <w:sz w:val="32"/>
      <w:szCs w:val="32"/>
    </w:rPr>
  </w:style>
  <w:style w:type="character" w:styleId="752" w:default="1">
    <w:name w:val="Default Paragraph Font"/>
    <w:uiPriority w:val="1"/>
    <w:semiHidden/>
    <w:unhideWhenUsed/>
  </w:style>
  <w:style w:type="table" w:styleId="7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4" w:default="1">
    <w:name w:val="No List"/>
    <w:uiPriority w:val="99"/>
    <w:semiHidden/>
    <w:unhideWhenUsed/>
  </w:style>
  <w:style w:type="paragraph" w:styleId="755">
    <w:name w:val="Normal (Web)"/>
    <w:basedOn w:val="75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756">
    <w:name w:val="Header"/>
    <w:basedOn w:val="750"/>
    <w:link w:val="75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57" w:customStyle="1">
    <w:name w:val="Верхний колонтитул Знак"/>
    <w:basedOn w:val="752"/>
    <w:link w:val="756"/>
    <w:uiPriority w:val="99"/>
    <w:rPr>
      <w:rFonts w:ascii="Calibri" w:hAnsi="Calibri" w:cs="Times New Roman" w:eastAsia="Calibri"/>
    </w:rPr>
  </w:style>
  <w:style w:type="paragraph" w:styleId="758">
    <w:name w:val="Footer"/>
    <w:basedOn w:val="750"/>
    <w:link w:val="75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59" w:customStyle="1">
    <w:name w:val="Нижний колонтитул Знак"/>
    <w:basedOn w:val="752"/>
    <w:link w:val="758"/>
    <w:uiPriority w:val="99"/>
    <w:rPr>
      <w:rFonts w:ascii="Calibri" w:hAnsi="Calibri" w:cs="Times New Roman" w:eastAsia="Calibri"/>
    </w:rPr>
  </w:style>
  <w:style w:type="character" w:styleId="760" w:customStyle="1">
    <w:name w:val="Заголовок 1 Знак"/>
    <w:basedOn w:val="752"/>
    <w:link w:val="751"/>
    <w:rPr>
      <w:rFonts w:ascii="Arial" w:hAnsi="Arial" w:cs="Times New Roman" w:eastAsia="Times New Roman"/>
      <w:b/>
      <w:bCs/>
      <w:sz w:val="32"/>
      <w:szCs w:val="32"/>
    </w:rPr>
  </w:style>
  <w:style w:type="character" w:styleId="761">
    <w:name w:val="page number"/>
    <w:basedOn w:val="752"/>
  </w:style>
  <w:style w:type="paragraph" w:styleId="762">
    <w:name w:val="List Paragraph"/>
    <w:basedOn w:val="750"/>
    <w:uiPriority w:val="1"/>
    <w:qFormat/>
    <w:pPr>
      <w:contextualSpacing/>
      <w:ind w:left="720"/>
    </w:pPr>
  </w:style>
  <w:style w:type="paragraph" w:styleId="763" w:customStyle="1">
    <w:name w:val="ConsPlusNonformat"/>
    <w:pPr>
      <w:widowControl w:val="off"/>
    </w:pPr>
    <w:rPr>
      <w:rFonts w:ascii="Courier New" w:hAnsi="Courier New" w:cs="Courier New" w:eastAsia="Times New Roman"/>
    </w:rPr>
  </w:style>
  <w:style w:type="paragraph" w:styleId="764">
    <w:name w:val="Balloon Text"/>
    <w:basedOn w:val="750"/>
    <w:link w:val="76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65" w:customStyle="1">
    <w:name w:val="Текст выноски Знак"/>
    <w:basedOn w:val="752"/>
    <w:link w:val="764"/>
    <w:uiPriority w:val="99"/>
    <w:semiHidden/>
    <w:rPr>
      <w:rFonts w:ascii="Tahoma" w:hAnsi="Tahoma" w:cs="Tahoma" w:eastAsia="Calibri"/>
      <w:sz w:val="16"/>
      <w:szCs w:val="16"/>
    </w:rPr>
  </w:style>
  <w:style w:type="paragraph" w:styleId="766" w:customStyle="1">
    <w:name w:val="ConsPlusNormal"/>
    <w:pPr>
      <w:widowControl w:val="off"/>
    </w:pPr>
    <w:rPr>
      <w:rFonts w:ascii="Times New Roman" w:hAnsi="Times New Roman" w:eastAsia="Times New Roman"/>
      <w:sz w:val="28"/>
    </w:rPr>
  </w:style>
  <w:style w:type="paragraph" w:styleId="767" w:customStyle="1">
    <w:name w:val="Обычный (веб) Знак"/>
    <w:basedOn w:val="750"/>
    <w:next w:val="755"/>
    <w:link w:val="768"/>
    <w:pPr>
      <w:ind w:left="160" w:right="160"/>
      <w:spacing w:before="40" w:after="40" w:line="240" w:lineRule="auto"/>
    </w:pPr>
    <w:rPr>
      <w:rFonts w:ascii="Verdana" w:hAnsi="Verdana" w:eastAsia="Times New Roman"/>
      <w:color w:val="000000"/>
    </w:rPr>
  </w:style>
  <w:style w:type="character" w:styleId="768" w:customStyle="1">
    <w:name w:val="Обычный (веб) Знак2"/>
    <w:link w:val="767"/>
    <w:rPr>
      <w:rFonts w:ascii="Verdana" w:hAnsi="Verdana" w:eastAsia="Times New Roman"/>
      <w:color w:val="000000"/>
      <w:sz w:val="22"/>
      <w:szCs w:val="22"/>
    </w:rPr>
  </w:style>
  <w:style w:type="character" w:styleId="769" w:customStyle="1">
    <w:name w:val="Основной текст (3)_"/>
    <w:basedOn w:val="752"/>
    <w:link w:val="773"/>
    <w:rPr>
      <w:rFonts w:ascii="Times New Roman" w:hAnsi="Times New Roman" w:eastAsia="Times New Roman"/>
      <w:b/>
      <w:bCs/>
      <w:sz w:val="28"/>
      <w:szCs w:val="28"/>
      <w:shd w:val="clear" w:color="auto" w:fill="ffffff"/>
    </w:rPr>
  </w:style>
  <w:style w:type="character" w:styleId="770" w:customStyle="1">
    <w:name w:val="Основной текст (2)_"/>
    <w:basedOn w:val="752"/>
    <w:link w:val="774"/>
    <w:rPr>
      <w:rFonts w:ascii="Times New Roman" w:hAnsi="Times New Roman" w:eastAsia="Times New Roman"/>
      <w:sz w:val="28"/>
      <w:szCs w:val="28"/>
      <w:shd w:val="clear" w:color="auto" w:fill="ffffff"/>
    </w:rPr>
  </w:style>
  <w:style w:type="character" w:styleId="771" w:customStyle="1">
    <w:name w:val="Заголовок №3_"/>
    <w:basedOn w:val="752"/>
    <w:link w:val="775"/>
    <w:rPr>
      <w:rFonts w:ascii="Times New Roman" w:hAnsi="Times New Roman" w:eastAsia="Times New Roman"/>
      <w:b/>
      <w:bCs/>
      <w:sz w:val="28"/>
      <w:szCs w:val="28"/>
      <w:shd w:val="clear" w:color="auto" w:fill="ffffff"/>
    </w:rPr>
  </w:style>
  <w:style w:type="character" w:styleId="772" w:customStyle="1">
    <w:name w:val="Основной текст (2) + Курсив"/>
    <w:basedOn w:val="770"/>
    <w:rPr>
      <w:rFonts w:ascii="Times New Roman" w:hAnsi="Times New Roman" w:eastAsia="Times New Roman"/>
      <w:i/>
      <w:iCs/>
      <w:color w:val="000000"/>
      <w:spacing w:val="0"/>
      <w:position w:val="0"/>
      <w:sz w:val="28"/>
      <w:szCs w:val="28"/>
      <w:shd w:val="clear" w:color="auto" w:fill="ffffff"/>
      <w:lang w:val="ru-RU" w:bidi="ru-RU" w:eastAsia="ru-RU"/>
    </w:rPr>
  </w:style>
  <w:style w:type="paragraph" w:styleId="773" w:customStyle="1">
    <w:name w:val="Основной текст (3)"/>
    <w:basedOn w:val="750"/>
    <w:link w:val="769"/>
    <w:pPr>
      <w:jc w:val="center"/>
      <w:spacing w:after="300" w:line="0" w:lineRule="atLeast"/>
      <w:shd w:val="clear" w:color="auto" w:fill="ffffff"/>
      <w:widowControl w:val="off"/>
    </w:pPr>
    <w:rPr>
      <w:rFonts w:ascii="Times New Roman" w:hAnsi="Times New Roman" w:eastAsia="Times New Roman"/>
      <w:b/>
      <w:bCs/>
      <w:sz w:val="28"/>
      <w:szCs w:val="28"/>
      <w:lang w:eastAsia="ru-RU"/>
    </w:rPr>
  </w:style>
  <w:style w:type="paragraph" w:styleId="774" w:customStyle="1">
    <w:name w:val="Основной текст (2)"/>
    <w:basedOn w:val="750"/>
    <w:link w:val="770"/>
    <w:pPr>
      <w:ind w:hanging="360"/>
      <w:jc w:val="center"/>
      <w:spacing w:before="300" w:after="480" w:line="324" w:lineRule="exact"/>
      <w:shd w:val="clear" w:color="auto" w:fill="ffffff"/>
      <w:widowControl w:val="off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775" w:customStyle="1">
    <w:name w:val="Заголовок №3"/>
    <w:basedOn w:val="750"/>
    <w:link w:val="771"/>
    <w:pPr>
      <w:spacing w:before="480" w:after="420" w:line="0" w:lineRule="atLeast"/>
      <w:shd w:val="clear" w:color="auto" w:fill="ffffff"/>
      <w:widowControl w:val="off"/>
      <w:outlineLvl w:val="2"/>
    </w:pPr>
    <w:rPr>
      <w:rFonts w:ascii="Times New Roman" w:hAnsi="Times New Roman" w:eastAsia="Times New Roman"/>
      <w:b/>
      <w:bCs/>
      <w:sz w:val="28"/>
      <w:szCs w:val="28"/>
      <w:lang w:eastAsia="ru-RU"/>
    </w:rPr>
  </w:style>
  <w:style w:type="character" w:styleId="776" w:customStyle="1">
    <w:name w:val="Основной текст (4)_"/>
    <w:basedOn w:val="752"/>
    <w:link w:val="777"/>
    <w:rPr>
      <w:rFonts w:ascii="Times New Roman" w:hAnsi="Times New Roman" w:eastAsia="Times New Roman"/>
      <w:i/>
      <w:iCs/>
      <w:shd w:val="clear" w:color="auto" w:fill="ffffff"/>
    </w:rPr>
  </w:style>
  <w:style w:type="paragraph" w:styleId="777" w:customStyle="1">
    <w:name w:val="Основной текст (4)"/>
    <w:basedOn w:val="750"/>
    <w:link w:val="776"/>
    <w:pPr>
      <w:spacing w:before="120" w:after="240" w:line="0" w:lineRule="atLeast"/>
      <w:shd w:val="clear" w:color="auto" w:fill="ffffff"/>
      <w:widowControl w:val="off"/>
    </w:pPr>
    <w:rPr>
      <w:rFonts w:ascii="Times New Roman" w:hAnsi="Times New Roman" w:eastAsia="Times New Roman"/>
      <w:i/>
      <w:iCs/>
      <w:sz w:val="20"/>
      <w:szCs w:val="20"/>
      <w:lang w:eastAsia="ru-RU"/>
    </w:rPr>
  </w:style>
  <w:style w:type="character" w:styleId="778">
    <w:name w:val="Hyperlink"/>
    <w:basedOn w:val="752"/>
    <w:rPr>
      <w:color w:val="0066CC"/>
      <w:u w:val="single"/>
    </w:rPr>
  </w:style>
  <w:style w:type="character" w:styleId="779" w:customStyle="1">
    <w:name w:val="Основной текст (5)_"/>
    <w:basedOn w:val="752"/>
    <w:link w:val="781"/>
    <w:rPr>
      <w:rFonts w:ascii="Times New Roman" w:hAnsi="Times New Roman" w:eastAsia="Times New Roman"/>
      <w:i/>
      <w:iCs/>
      <w:sz w:val="28"/>
      <w:szCs w:val="28"/>
      <w:shd w:val="clear" w:color="auto" w:fill="ffffff"/>
    </w:rPr>
  </w:style>
  <w:style w:type="character" w:styleId="780" w:customStyle="1">
    <w:name w:val="Основной текст (5) + Не курсив"/>
    <w:basedOn w:val="779"/>
    <w:rPr>
      <w:rFonts w:ascii="Times New Roman" w:hAnsi="Times New Roman" w:eastAsia="Times New Roman"/>
      <w:i/>
      <w:iCs/>
      <w:sz w:val="28"/>
      <w:szCs w:val="28"/>
      <w:shd w:val="clear" w:color="auto" w:fill="ffffff"/>
    </w:rPr>
  </w:style>
  <w:style w:type="paragraph" w:styleId="781" w:customStyle="1">
    <w:name w:val="Основной текст (5)"/>
    <w:basedOn w:val="750"/>
    <w:link w:val="779"/>
    <w:pPr>
      <w:ind w:firstLine="740"/>
      <w:jc w:val="both"/>
      <w:spacing w:after="0" w:line="320" w:lineRule="exact"/>
      <w:shd w:val="clear" w:color="auto" w:fill="ffffff"/>
      <w:widowControl w:val="off"/>
    </w:pPr>
    <w:rPr>
      <w:rFonts w:ascii="Times New Roman" w:hAnsi="Times New Roman" w:eastAsia="Times New Roman"/>
      <w:i/>
      <w:iCs/>
      <w:sz w:val="28"/>
      <w:szCs w:val="28"/>
      <w:lang w:eastAsia="ru-RU"/>
    </w:rPr>
  </w:style>
  <w:style w:type="character" w:styleId="782" w:customStyle="1">
    <w:name w:val="Основной текст (2) + 12 pt"/>
    <w:basedOn w:val="770"/>
    <w:rPr>
      <w:rFonts w:ascii="Times New Roman" w:hAnsi="Times New Roman" w:eastAsia="Times New Roman"/>
      <w:b w:val="0"/>
      <w:bCs w:val="0"/>
      <w:i w:val="0"/>
      <w:iCs w:val="0"/>
      <w:smallCaps w:val="0"/>
      <w:strike w:val="false"/>
      <w:color w:val="000000"/>
      <w:spacing w:val="0"/>
      <w:position w:val="0"/>
      <w:sz w:val="24"/>
      <w:szCs w:val="24"/>
      <w:u w:val="none"/>
      <w:shd w:val="clear" w:color="auto" w:fill="ffffff"/>
      <w:lang w:val="ru-RU" w:bidi="ru-RU" w:eastAsia="ru-RU"/>
    </w:rPr>
  </w:style>
  <w:style w:type="character" w:styleId="783" w:customStyle="1">
    <w:name w:val="Основной текст (2) + Courier New;8;5 pt;Курсив"/>
    <w:basedOn w:val="770"/>
    <w:rPr>
      <w:rFonts w:ascii="Courier New" w:hAnsi="Courier New" w:cs="Courier New" w:eastAsia="Courier New"/>
      <w:b w:val="0"/>
      <w:bCs w:val="0"/>
      <w:i/>
      <w:iCs/>
      <w:smallCaps w:val="0"/>
      <w:strike w:val="false"/>
      <w:color w:val="000000"/>
      <w:spacing w:val="0"/>
      <w:position w:val="0"/>
      <w:sz w:val="17"/>
      <w:szCs w:val="17"/>
      <w:u w:val="none"/>
      <w:shd w:val="clear" w:color="auto" w:fill="ffffff"/>
      <w:lang w:val="ru-RU" w:bidi="ru-RU" w:eastAsia="ru-RU"/>
    </w:rPr>
  </w:style>
  <w:style w:type="character" w:styleId="784" w:customStyle="1">
    <w:name w:val="Основной текст (2) + 7;5 pt;Интервал 0 pt"/>
    <w:basedOn w:val="770"/>
    <w:rPr>
      <w:rFonts w:ascii="Times New Roman" w:hAnsi="Times New Roman" w:eastAsia="Times New Roman"/>
      <w:b w:val="0"/>
      <w:bCs w:val="0"/>
      <w:i w:val="0"/>
      <w:iCs w:val="0"/>
      <w:smallCaps w:val="0"/>
      <w:strike w:val="false"/>
      <w:color w:val="000000"/>
      <w:spacing w:val="-10"/>
      <w:position w:val="0"/>
      <w:sz w:val="15"/>
      <w:szCs w:val="15"/>
      <w:u w:val="none"/>
      <w:shd w:val="clear" w:color="auto" w:fill="ffffff"/>
      <w:lang w:val="ru-RU" w:bidi="ru-RU" w:eastAsia="ru-RU"/>
    </w:rPr>
  </w:style>
  <w:style w:type="table" w:styleId="785">
    <w:name w:val="Table Grid"/>
    <w:basedOn w:val="753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86" w:customStyle="1">
    <w:name w:val="Основной текст (10)_"/>
    <w:basedOn w:val="752"/>
    <w:link w:val="787"/>
    <w:rPr>
      <w:rFonts w:ascii="Times New Roman" w:hAnsi="Times New Roman" w:eastAsia="Times New Roman"/>
      <w:shd w:val="clear" w:color="auto" w:fill="ffffff"/>
    </w:rPr>
  </w:style>
  <w:style w:type="paragraph" w:styleId="787" w:customStyle="1">
    <w:name w:val="Основной текст (10)"/>
    <w:basedOn w:val="750"/>
    <w:link w:val="786"/>
    <w:pPr>
      <w:ind w:hanging="260"/>
      <w:spacing w:after="0" w:line="126" w:lineRule="exact"/>
      <w:shd w:val="clear" w:color="auto" w:fill="ffffff"/>
      <w:widowControl w:val="off"/>
    </w:pPr>
    <w:rPr>
      <w:rFonts w:ascii="Times New Roman" w:hAnsi="Times New Roman" w:eastAsia="Times New Roman"/>
      <w:sz w:val="20"/>
      <w:szCs w:val="20"/>
      <w:lang w:eastAsia="ru-RU"/>
    </w:rPr>
  </w:style>
  <w:style w:type="character" w:styleId="788">
    <w:name w:val="FollowedHyperlink"/>
    <w:basedOn w:val="752"/>
    <w:uiPriority w:val="99"/>
    <w:semiHidden/>
    <w:unhideWhenUsed/>
    <w:rPr>
      <w:color w:val="800080" w:themeColor="followedHyperlink"/>
      <w:u w:val="single"/>
    </w:rPr>
  </w:style>
  <w:style w:type="table" w:styleId="789" w:customStyle="1">
    <w:name w:val="Grid Table Light"/>
    <w:basedOn w:val="753"/>
    <w:uiPriority w:val="40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790">
    <w:name w:val="annotation reference"/>
    <w:basedOn w:val="752"/>
    <w:uiPriority w:val="99"/>
    <w:semiHidden/>
    <w:unhideWhenUsed/>
    <w:rPr>
      <w:sz w:val="16"/>
      <w:szCs w:val="16"/>
    </w:rPr>
  </w:style>
  <w:style w:type="paragraph" w:styleId="791">
    <w:name w:val="annotation text"/>
    <w:basedOn w:val="750"/>
    <w:link w:val="792"/>
    <w:uiPriority w:val="99"/>
    <w:semiHidden/>
    <w:unhideWhenUsed/>
    <w:pPr>
      <w:spacing w:after="0" w:line="240" w:lineRule="auto"/>
      <w:widowControl w:val="off"/>
    </w:pPr>
    <w:rPr>
      <w:rFonts w:ascii="Arial Unicode MS" w:hAnsi="Arial Unicode MS" w:cs="Arial Unicode MS" w:eastAsia="Arial Unicode MS"/>
      <w:color w:val="000000"/>
      <w:sz w:val="20"/>
      <w:szCs w:val="20"/>
      <w:lang w:bidi="ru-RU" w:eastAsia="ru-RU"/>
    </w:rPr>
  </w:style>
  <w:style w:type="character" w:styleId="792" w:customStyle="1">
    <w:name w:val="Текст примечания Знак"/>
    <w:basedOn w:val="752"/>
    <w:link w:val="791"/>
    <w:uiPriority w:val="99"/>
    <w:semiHidden/>
    <w:rPr>
      <w:rFonts w:ascii="Arial Unicode MS" w:hAnsi="Arial Unicode MS" w:cs="Arial Unicode MS" w:eastAsia="Arial Unicode MS"/>
      <w:color w:val="000000"/>
      <w:lang w:bidi="ru-RU"/>
    </w:rPr>
  </w:style>
  <w:style w:type="paragraph" w:styleId="793">
    <w:name w:val="annotation subject"/>
    <w:basedOn w:val="791"/>
    <w:next w:val="791"/>
    <w:link w:val="794"/>
    <w:uiPriority w:val="99"/>
    <w:semiHidden/>
    <w:unhideWhenUsed/>
    <w:rPr>
      <w:b/>
      <w:bCs/>
    </w:rPr>
  </w:style>
  <w:style w:type="character" w:styleId="794" w:customStyle="1">
    <w:name w:val="Тема примечания Знак"/>
    <w:basedOn w:val="792"/>
    <w:link w:val="793"/>
    <w:uiPriority w:val="99"/>
    <w:semiHidden/>
    <w:rPr>
      <w:rFonts w:ascii="Arial Unicode MS" w:hAnsi="Arial Unicode MS" w:cs="Arial Unicode MS" w:eastAsia="Arial Unicode MS"/>
      <w:b/>
      <w:bCs/>
      <w:color w:val="000000"/>
      <w:lang w:bidi="ru-RU"/>
    </w:rPr>
  </w:style>
  <w:style w:type="paragraph" w:styleId="795">
    <w:name w:val="Body Text"/>
    <w:basedOn w:val="750"/>
    <w:link w:val="796"/>
    <w:uiPriority w:val="99"/>
    <w:unhideWhenUsed/>
    <w:pPr>
      <w:spacing w:after="120" w:line="240" w:lineRule="auto"/>
      <w:widowControl w:val="off"/>
    </w:pPr>
    <w:rPr>
      <w:rFonts w:ascii="Arial Unicode MS" w:hAnsi="Arial Unicode MS" w:cs="Arial Unicode MS" w:eastAsia="Arial Unicode MS"/>
      <w:color w:val="000000"/>
      <w:sz w:val="24"/>
      <w:szCs w:val="24"/>
      <w:lang w:bidi="ru-RU" w:eastAsia="ru-RU"/>
    </w:rPr>
  </w:style>
  <w:style w:type="character" w:styleId="796" w:customStyle="1">
    <w:name w:val="Основной текст Знак"/>
    <w:basedOn w:val="752"/>
    <w:link w:val="795"/>
    <w:uiPriority w:val="99"/>
    <w:rPr>
      <w:rFonts w:ascii="Arial Unicode MS" w:hAnsi="Arial Unicode MS" w:cs="Arial Unicode MS" w:eastAsia="Arial Unicode MS"/>
      <w:color w:val="000000"/>
      <w:sz w:val="24"/>
      <w:szCs w:val="24"/>
      <w:lang w:bidi="ru-RU"/>
    </w:rPr>
  </w:style>
  <w:style w:type="table" w:styleId="797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798" w:customStyle="1">
    <w:name w:val="Заголовок 11"/>
    <w:basedOn w:val="750"/>
    <w:uiPriority w:val="1"/>
    <w:qFormat/>
    <w:pPr>
      <w:ind w:left="492"/>
      <w:jc w:val="both"/>
      <w:spacing w:after="0" w:line="240" w:lineRule="auto"/>
      <w:widowControl w:val="off"/>
      <w:outlineLvl w:val="1"/>
    </w:pPr>
    <w:rPr>
      <w:rFonts w:ascii="Times New Roman" w:hAnsi="Times New Roman" w:eastAsia="Times New Roman"/>
      <w:b/>
      <w:bCs/>
      <w:sz w:val="28"/>
      <w:szCs w:val="28"/>
    </w:rPr>
  </w:style>
  <w:style w:type="paragraph" w:styleId="799" w:customStyle="1">
    <w:name w:val="Table Paragraph"/>
    <w:basedOn w:val="750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/>
    </w:rPr>
  </w:style>
  <w:style w:type="paragraph" w:styleId="800" w:customStyle="1">
    <w:name w:val="ConsPlusTitle"/>
    <w:pPr>
      <w:widowControl w:val="off"/>
    </w:pPr>
    <w:rPr>
      <w:rFonts w:cs="Calibri" w:eastAsia="Times New Roman"/>
      <w:b/>
      <w:sz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7A4C0BB7-0DA5-42C7-8501-EA34D5FF2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R7-Office/7.0.1.62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N_Dodina</dc:creator>
  <cp:lastModifiedBy>Сайт Лемешкинская ШИ</cp:lastModifiedBy>
  <cp:revision>11</cp:revision>
  <dcterms:created xsi:type="dcterms:W3CDTF">2022-03-18T09:35:00Z</dcterms:created>
  <dcterms:modified xsi:type="dcterms:W3CDTF">2022-04-08T13:37:40Z</dcterms:modified>
</cp:coreProperties>
</file>